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2FD79" w14:textId="77777777" w:rsidR="003545B5" w:rsidRPr="00D32363" w:rsidRDefault="003545B5" w:rsidP="003545B5">
      <w:pPr>
        <w:spacing w:before="120" w:after="120" w:line="276" w:lineRule="auto"/>
        <w:jc w:val="center"/>
        <w:rPr>
          <w:rFonts w:ascii="Calibri" w:eastAsia="Calibri" w:hAnsi="Calibri" w:cs="Times New Roman"/>
          <w:color w:val="365F91"/>
          <w:sz w:val="24"/>
        </w:rPr>
      </w:pPr>
      <w:r w:rsidRPr="00D32363">
        <w:rPr>
          <w:rFonts w:ascii="Calibri" w:eastAsia="Calibri" w:hAnsi="Calibri" w:cs="Times New Roman"/>
          <w:b/>
          <w:bCs/>
          <w:color w:val="365F91"/>
          <w:sz w:val="24"/>
        </w:rPr>
        <w:t>YLF COMPLAINTS PROCEDURE</w:t>
      </w:r>
    </w:p>
    <w:p w14:paraId="25E2D98F" w14:textId="77777777" w:rsidR="003545B5" w:rsidRPr="00D32363" w:rsidRDefault="003545B5" w:rsidP="003545B5">
      <w:pPr>
        <w:spacing w:before="120" w:after="120" w:line="276" w:lineRule="auto"/>
        <w:rPr>
          <w:rFonts w:ascii="Calibri" w:eastAsia="Calibri" w:hAnsi="Calibri" w:cs="Times New Roman"/>
          <w:color w:val="365F91"/>
        </w:rPr>
      </w:pPr>
      <w:r w:rsidRPr="00D32363">
        <w:rPr>
          <w:rFonts w:ascii="Calibri" w:eastAsia="Calibri" w:hAnsi="Calibri" w:cs="Times New Roman"/>
          <w:b/>
          <w:bCs/>
          <w:color w:val="365F91"/>
        </w:rPr>
        <w:t>1.</w:t>
      </w:r>
      <w:r w:rsidRPr="00D32363">
        <w:rPr>
          <w:rFonts w:ascii="Calibri" w:eastAsia="Calibri" w:hAnsi="Calibri" w:cs="Times New Roman"/>
          <w:b/>
          <w:bCs/>
          <w:color w:val="365F91"/>
        </w:rPr>
        <w:tab/>
        <w:t xml:space="preserve">Purpose and Principles </w:t>
      </w:r>
    </w:p>
    <w:p w14:paraId="0AC10B2F" w14:textId="77777777" w:rsidR="003545B5" w:rsidRPr="00D32363" w:rsidRDefault="003545B5" w:rsidP="003545B5">
      <w:pPr>
        <w:spacing w:before="120" w:after="120" w:line="276" w:lineRule="auto"/>
        <w:rPr>
          <w:rFonts w:ascii="Calibri" w:eastAsia="Calibri" w:hAnsi="Calibri" w:cs="Times New Roman"/>
          <w:color w:val="365F91"/>
        </w:rPr>
      </w:pPr>
      <w:r w:rsidRPr="00D32363">
        <w:rPr>
          <w:rFonts w:ascii="Calibri" w:eastAsia="Calibri" w:hAnsi="Calibri" w:cs="Times New Roman"/>
          <w:color w:val="365F91"/>
        </w:rPr>
        <w:t xml:space="preserve">The Young Lives Foundation is committed to doing the best it can for children and young people in need and their families. To that end, the charity welcomes and encourages feedback from those using its services, from other stakeholders </w:t>
      </w:r>
      <w:proofErr w:type="gramStart"/>
      <w:r w:rsidRPr="00D32363">
        <w:rPr>
          <w:rFonts w:ascii="Calibri" w:eastAsia="Calibri" w:hAnsi="Calibri" w:cs="Times New Roman"/>
          <w:color w:val="365F91"/>
        </w:rPr>
        <w:t>and also</w:t>
      </w:r>
      <w:proofErr w:type="gramEnd"/>
      <w:r w:rsidRPr="00D32363">
        <w:rPr>
          <w:rFonts w:ascii="Calibri" w:eastAsia="Calibri" w:hAnsi="Calibri" w:cs="Times New Roman"/>
          <w:color w:val="365F91"/>
        </w:rPr>
        <w:t xml:space="preserve"> from members of the public, as this enables us to know what we are doing well and where we might need to make improvements.</w:t>
      </w:r>
    </w:p>
    <w:p w14:paraId="2AD6C173" w14:textId="77777777" w:rsidR="003545B5" w:rsidRPr="00D32363" w:rsidRDefault="003545B5" w:rsidP="003545B5">
      <w:pPr>
        <w:spacing w:before="120" w:after="120" w:line="276" w:lineRule="auto"/>
        <w:rPr>
          <w:rFonts w:ascii="Calibri" w:eastAsia="Calibri" w:hAnsi="Calibri" w:cs="Times New Roman"/>
          <w:bCs/>
          <w:color w:val="365F91"/>
        </w:rPr>
      </w:pPr>
      <w:r w:rsidRPr="00D32363">
        <w:rPr>
          <w:rFonts w:ascii="Calibri" w:eastAsia="Calibri" w:hAnsi="Calibri" w:cs="Times New Roman"/>
          <w:bCs/>
          <w:color w:val="365F91"/>
        </w:rPr>
        <w:t>Many matters of concern can be dealt with as problems to be solved or issues capable of informal resolution and can therefore be handled by the worker(s) most closely involved.</w:t>
      </w:r>
    </w:p>
    <w:p w14:paraId="0BC8152C" w14:textId="77777777" w:rsidR="003545B5" w:rsidRPr="00D32363" w:rsidRDefault="003545B5" w:rsidP="003545B5">
      <w:pPr>
        <w:spacing w:before="120" w:after="120" w:line="276" w:lineRule="auto"/>
        <w:rPr>
          <w:rFonts w:ascii="Calibri" w:eastAsia="Calibri" w:hAnsi="Calibri" w:cs="Times New Roman"/>
          <w:bCs/>
          <w:color w:val="365F91"/>
        </w:rPr>
      </w:pPr>
      <w:r w:rsidRPr="00D32363">
        <w:rPr>
          <w:rFonts w:ascii="Calibri" w:eastAsia="Calibri" w:hAnsi="Calibri" w:cs="Times New Roman"/>
          <w:bCs/>
          <w:color w:val="365F91"/>
        </w:rPr>
        <w:t>If the matter cannot be satisfactorily resolved informally or if the matter is of a serious nature, it can be dealt with as a formal complaint using the following procedure.  If the complaint is made by a young person or vulnerable adult, YLF will offer an independent advocate to support them with their complaint and an interpreter if applicable.</w:t>
      </w:r>
    </w:p>
    <w:p w14:paraId="15E0FBE6" w14:textId="77777777" w:rsidR="003545B5" w:rsidRPr="00D32363" w:rsidRDefault="003545B5" w:rsidP="003545B5">
      <w:pPr>
        <w:spacing w:before="120" w:after="120" w:line="276" w:lineRule="auto"/>
        <w:rPr>
          <w:rFonts w:ascii="Calibri" w:eastAsia="Calibri" w:hAnsi="Calibri" w:cs="Times New Roman"/>
          <w:b/>
          <w:bCs/>
          <w:color w:val="365F91"/>
        </w:rPr>
      </w:pPr>
      <w:r w:rsidRPr="00D32363">
        <w:rPr>
          <w:rFonts w:ascii="Calibri" w:eastAsia="Calibri" w:hAnsi="Calibri" w:cs="Times New Roman"/>
          <w:b/>
          <w:bCs/>
          <w:color w:val="365F91"/>
        </w:rPr>
        <w:t xml:space="preserve">2. </w:t>
      </w:r>
      <w:r w:rsidRPr="00D32363">
        <w:rPr>
          <w:rFonts w:ascii="Calibri" w:eastAsia="Calibri" w:hAnsi="Calibri" w:cs="Times New Roman"/>
          <w:b/>
          <w:bCs/>
          <w:color w:val="365F91"/>
        </w:rPr>
        <w:tab/>
        <w:t>Complaints Procedure</w:t>
      </w:r>
    </w:p>
    <w:p w14:paraId="732C61E5" w14:textId="77777777" w:rsidR="003545B5" w:rsidRPr="00D32363" w:rsidRDefault="003545B5" w:rsidP="003545B5">
      <w:pPr>
        <w:spacing w:before="120" w:after="120" w:line="276" w:lineRule="auto"/>
        <w:rPr>
          <w:rFonts w:ascii="Calibri" w:eastAsia="Calibri" w:hAnsi="Calibri" w:cs="Times New Roman"/>
          <w:b/>
          <w:bCs/>
          <w:color w:val="365F91"/>
        </w:rPr>
      </w:pPr>
      <w:r w:rsidRPr="00D32363">
        <w:rPr>
          <w:rFonts w:ascii="Calibri" w:eastAsia="Calibri" w:hAnsi="Calibri" w:cs="Times New Roman"/>
          <w:b/>
          <w:bCs/>
          <w:color w:val="365F91"/>
        </w:rPr>
        <w:t xml:space="preserve">2.1 </w:t>
      </w:r>
      <w:r w:rsidRPr="00D32363">
        <w:rPr>
          <w:rFonts w:ascii="Calibri" w:eastAsia="Calibri" w:hAnsi="Calibri" w:cs="Times New Roman"/>
          <w:b/>
          <w:bCs/>
          <w:color w:val="365F91"/>
        </w:rPr>
        <w:tab/>
        <w:t>Stage 1 – Formal Complaint</w:t>
      </w:r>
    </w:p>
    <w:p w14:paraId="08B48901" w14:textId="4EC574F8" w:rsidR="003545B5" w:rsidRDefault="003545B5" w:rsidP="003545B5">
      <w:pPr>
        <w:spacing w:before="120" w:after="120" w:line="276" w:lineRule="auto"/>
        <w:ind w:left="720"/>
        <w:rPr>
          <w:rFonts w:ascii="Calibri" w:eastAsia="Calibri" w:hAnsi="Calibri" w:cs="Times New Roman"/>
          <w:bCs/>
          <w:color w:val="365F91"/>
        </w:rPr>
      </w:pPr>
      <w:r w:rsidRPr="00D32363">
        <w:rPr>
          <w:rFonts w:ascii="Calibri" w:eastAsia="Calibri" w:hAnsi="Calibri" w:cs="Times New Roman"/>
          <w:bCs/>
          <w:color w:val="365F91"/>
        </w:rPr>
        <w:t>A formal com</w:t>
      </w:r>
      <w:r>
        <w:rPr>
          <w:rFonts w:ascii="Calibri" w:eastAsia="Calibri" w:hAnsi="Calibri" w:cs="Times New Roman"/>
          <w:bCs/>
          <w:color w:val="365F91"/>
        </w:rPr>
        <w:t>plaint should be to the Senior Manager</w:t>
      </w:r>
      <w:r w:rsidR="00A2422B">
        <w:rPr>
          <w:rFonts w:ascii="Calibri" w:eastAsia="Calibri" w:hAnsi="Calibri" w:cs="Times New Roman"/>
          <w:bCs/>
          <w:color w:val="365F91"/>
        </w:rPr>
        <w:t xml:space="preserve"> (see </w:t>
      </w:r>
      <w:proofErr w:type="gramStart"/>
      <w:r w:rsidR="00A2422B">
        <w:rPr>
          <w:rFonts w:ascii="Calibri" w:eastAsia="Calibri" w:hAnsi="Calibri" w:cs="Times New Roman"/>
          <w:bCs/>
          <w:color w:val="365F91"/>
        </w:rPr>
        <w:t xml:space="preserve">Appendix) </w:t>
      </w:r>
      <w:r>
        <w:rPr>
          <w:rFonts w:ascii="Calibri" w:eastAsia="Calibri" w:hAnsi="Calibri" w:cs="Times New Roman"/>
          <w:bCs/>
          <w:color w:val="365F91"/>
        </w:rPr>
        <w:t xml:space="preserve"> of</w:t>
      </w:r>
      <w:proofErr w:type="gramEnd"/>
      <w:r>
        <w:rPr>
          <w:rFonts w:ascii="Calibri" w:eastAsia="Calibri" w:hAnsi="Calibri" w:cs="Times New Roman"/>
          <w:bCs/>
          <w:color w:val="365F91"/>
        </w:rPr>
        <w:t xml:space="preserve"> the relevant department </w:t>
      </w:r>
      <w:r w:rsidRPr="00D32363">
        <w:rPr>
          <w:rFonts w:ascii="Calibri" w:eastAsia="Calibri" w:hAnsi="Calibri" w:cs="Times New Roman"/>
          <w:bCs/>
          <w:color w:val="365F91"/>
        </w:rPr>
        <w:t xml:space="preserve">who will make arrangements for the complaint to be investigated. </w:t>
      </w:r>
      <w:r>
        <w:rPr>
          <w:rFonts w:ascii="Calibri" w:eastAsia="Calibri" w:hAnsi="Calibri" w:cs="Times New Roman"/>
          <w:bCs/>
          <w:color w:val="365F91"/>
        </w:rPr>
        <w:t>Detail of the relevant manager will be provided to the complainant.</w:t>
      </w:r>
    </w:p>
    <w:p w14:paraId="10F893C1" w14:textId="77777777" w:rsidR="003545B5" w:rsidRPr="00D32363" w:rsidRDefault="003545B5" w:rsidP="003545B5">
      <w:pPr>
        <w:spacing w:before="120" w:after="120" w:line="276" w:lineRule="auto"/>
        <w:ind w:left="720"/>
        <w:rPr>
          <w:rFonts w:ascii="Calibri" w:eastAsia="Calibri" w:hAnsi="Calibri" w:cs="Times New Roman"/>
          <w:bCs/>
          <w:color w:val="365F91"/>
        </w:rPr>
      </w:pPr>
      <w:r>
        <w:rPr>
          <w:rFonts w:ascii="Calibri" w:eastAsia="Calibri" w:hAnsi="Calibri" w:cs="Times New Roman"/>
          <w:bCs/>
          <w:color w:val="365F91"/>
        </w:rPr>
        <w:t>Formal complaints</w:t>
      </w:r>
      <w:r w:rsidRPr="00D32363">
        <w:rPr>
          <w:rFonts w:ascii="Calibri" w:eastAsia="Calibri" w:hAnsi="Calibri" w:cs="Times New Roman"/>
          <w:bCs/>
          <w:color w:val="365F91"/>
        </w:rPr>
        <w:t xml:space="preserve"> will </w:t>
      </w:r>
      <w:r>
        <w:rPr>
          <w:rFonts w:ascii="Calibri" w:eastAsia="Calibri" w:hAnsi="Calibri" w:cs="Times New Roman"/>
          <w:bCs/>
          <w:color w:val="365F91"/>
        </w:rPr>
        <w:t xml:space="preserve">be </w:t>
      </w:r>
      <w:r w:rsidRPr="00D32363">
        <w:rPr>
          <w:rFonts w:ascii="Calibri" w:eastAsia="Calibri" w:hAnsi="Calibri" w:cs="Times New Roman"/>
          <w:bCs/>
          <w:color w:val="365F91"/>
        </w:rPr>
        <w:t>acknowledge</w:t>
      </w:r>
      <w:r>
        <w:rPr>
          <w:rFonts w:ascii="Calibri" w:eastAsia="Calibri" w:hAnsi="Calibri" w:cs="Times New Roman"/>
          <w:bCs/>
          <w:color w:val="365F91"/>
        </w:rPr>
        <w:t>d upon</w:t>
      </w:r>
      <w:r w:rsidRPr="00D32363">
        <w:rPr>
          <w:rFonts w:ascii="Calibri" w:eastAsia="Calibri" w:hAnsi="Calibri" w:cs="Times New Roman"/>
          <w:bCs/>
          <w:color w:val="365F91"/>
        </w:rPr>
        <w:t xml:space="preserve"> rece</w:t>
      </w:r>
      <w:r>
        <w:rPr>
          <w:rFonts w:ascii="Calibri" w:eastAsia="Calibri" w:hAnsi="Calibri" w:cs="Times New Roman"/>
          <w:bCs/>
          <w:color w:val="365F91"/>
        </w:rPr>
        <w:t xml:space="preserve">ipt of the complaint and </w:t>
      </w:r>
      <w:r w:rsidRPr="00D32363">
        <w:rPr>
          <w:rFonts w:ascii="Calibri" w:eastAsia="Calibri" w:hAnsi="Calibri" w:cs="Times New Roman"/>
          <w:bCs/>
          <w:color w:val="365F91"/>
        </w:rPr>
        <w:t xml:space="preserve">the complainant </w:t>
      </w:r>
      <w:r>
        <w:rPr>
          <w:rFonts w:ascii="Calibri" w:eastAsia="Calibri" w:hAnsi="Calibri" w:cs="Times New Roman"/>
          <w:bCs/>
          <w:color w:val="365F91"/>
        </w:rPr>
        <w:t xml:space="preserve">will be advised </w:t>
      </w:r>
      <w:r w:rsidRPr="00D32363">
        <w:rPr>
          <w:rFonts w:ascii="Calibri" w:eastAsia="Calibri" w:hAnsi="Calibri" w:cs="Times New Roman"/>
          <w:bCs/>
          <w:color w:val="365F91"/>
        </w:rPr>
        <w:t xml:space="preserve">of the process and anticipated timescale for investigating the complaint. </w:t>
      </w:r>
    </w:p>
    <w:p w14:paraId="2B4902EB" w14:textId="77777777" w:rsidR="003545B5" w:rsidRPr="00D32363" w:rsidRDefault="003545B5" w:rsidP="003545B5">
      <w:pPr>
        <w:spacing w:before="120" w:after="120" w:line="276" w:lineRule="auto"/>
        <w:ind w:left="720"/>
        <w:rPr>
          <w:rFonts w:ascii="Calibri" w:eastAsia="Calibri" w:hAnsi="Calibri" w:cs="Times New Roman"/>
          <w:bCs/>
          <w:color w:val="365F91"/>
        </w:rPr>
      </w:pPr>
      <w:r w:rsidRPr="00D32363">
        <w:rPr>
          <w:rFonts w:ascii="Calibri" w:eastAsia="Calibri" w:hAnsi="Calibri" w:cs="Times New Roman"/>
          <w:bCs/>
          <w:color w:val="365F91"/>
        </w:rPr>
        <w:t>A formal complaint will normally be made in writing</w:t>
      </w:r>
      <w:r>
        <w:rPr>
          <w:rFonts w:ascii="Calibri" w:eastAsia="Calibri" w:hAnsi="Calibri" w:cs="Times New Roman"/>
          <w:bCs/>
          <w:color w:val="365F91"/>
        </w:rPr>
        <w:t>, either electronically or hard copy</w:t>
      </w:r>
      <w:r w:rsidRPr="00D32363">
        <w:rPr>
          <w:rFonts w:ascii="Calibri" w:eastAsia="Calibri" w:hAnsi="Calibri" w:cs="Times New Roman"/>
          <w:bCs/>
          <w:color w:val="365F91"/>
        </w:rPr>
        <w:t>. However, a service-user may make their complaint orally if they wish and be supported by an advocate or other representative of their choice.</w:t>
      </w:r>
    </w:p>
    <w:p w14:paraId="2B01C6DE" w14:textId="77777777" w:rsidR="003545B5" w:rsidRPr="00D32363" w:rsidRDefault="003545B5" w:rsidP="003545B5">
      <w:pPr>
        <w:spacing w:before="120" w:after="120" w:line="276" w:lineRule="auto"/>
        <w:ind w:left="720"/>
        <w:rPr>
          <w:rFonts w:ascii="Calibri" w:eastAsia="Calibri" w:hAnsi="Calibri" w:cs="Times New Roman"/>
          <w:bCs/>
          <w:color w:val="365F91"/>
        </w:rPr>
      </w:pPr>
      <w:r w:rsidRPr="00D32363">
        <w:rPr>
          <w:rFonts w:ascii="Calibri" w:eastAsia="Calibri" w:hAnsi="Calibri" w:cs="Times New Roman"/>
          <w:bCs/>
          <w:color w:val="365F91"/>
        </w:rPr>
        <w:t>Once the investigation has been</w:t>
      </w:r>
      <w:r>
        <w:rPr>
          <w:rFonts w:ascii="Calibri" w:eastAsia="Calibri" w:hAnsi="Calibri" w:cs="Times New Roman"/>
          <w:bCs/>
          <w:color w:val="365F91"/>
        </w:rPr>
        <w:t xml:space="preserve"> completed, </w:t>
      </w:r>
      <w:r w:rsidRPr="00D32363">
        <w:rPr>
          <w:rFonts w:ascii="Calibri" w:eastAsia="Calibri" w:hAnsi="Calibri" w:cs="Times New Roman"/>
          <w:bCs/>
          <w:color w:val="365F91"/>
        </w:rPr>
        <w:t xml:space="preserve">the complainant </w:t>
      </w:r>
      <w:r>
        <w:rPr>
          <w:rFonts w:ascii="Calibri" w:eastAsia="Calibri" w:hAnsi="Calibri" w:cs="Times New Roman"/>
          <w:bCs/>
          <w:color w:val="365F91"/>
        </w:rPr>
        <w:t xml:space="preserve">will be informed </w:t>
      </w:r>
      <w:r w:rsidRPr="00D32363">
        <w:rPr>
          <w:rFonts w:ascii="Calibri" w:eastAsia="Calibri" w:hAnsi="Calibri" w:cs="Times New Roman"/>
          <w:bCs/>
          <w:color w:val="365F91"/>
        </w:rPr>
        <w:t>of the outcome and of his/her right to seek a review if dissatisfied with that outcome.</w:t>
      </w:r>
    </w:p>
    <w:p w14:paraId="7E36EFC9" w14:textId="3C68F0C2" w:rsidR="003545B5" w:rsidRPr="00D32363" w:rsidRDefault="003545B5" w:rsidP="003545B5">
      <w:pPr>
        <w:spacing w:before="120" w:after="120" w:line="276" w:lineRule="auto"/>
        <w:ind w:left="720"/>
        <w:rPr>
          <w:rFonts w:ascii="Calibri" w:eastAsia="Calibri" w:hAnsi="Calibri" w:cs="Times New Roman"/>
          <w:bCs/>
          <w:color w:val="365F91"/>
        </w:rPr>
      </w:pPr>
      <w:proofErr w:type="gramStart"/>
      <w:r>
        <w:rPr>
          <w:rFonts w:ascii="Calibri" w:eastAsia="Calibri" w:hAnsi="Calibri" w:cs="Times New Roman"/>
          <w:bCs/>
          <w:color w:val="365F91"/>
        </w:rPr>
        <w:t>In the event that</w:t>
      </w:r>
      <w:proofErr w:type="gramEnd"/>
      <w:r>
        <w:rPr>
          <w:rFonts w:ascii="Calibri" w:eastAsia="Calibri" w:hAnsi="Calibri" w:cs="Times New Roman"/>
          <w:bCs/>
          <w:color w:val="365F91"/>
        </w:rPr>
        <w:t xml:space="preserve"> the Senior Manager </w:t>
      </w:r>
      <w:r w:rsidRPr="00D32363">
        <w:rPr>
          <w:rFonts w:ascii="Calibri" w:eastAsia="Calibri" w:hAnsi="Calibri" w:cs="Times New Roman"/>
          <w:bCs/>
          <w:color w:val="365F91"/>
        </w:rPr>
        <w:t>is the subject of the complaint, the matter will be re</w:t>
      </w:r>
      <w:r>
        <w:rPr>
          <w:rFonts w:ascii="Calibri" w:eastAsia="Calibri" w:hAnsi="Calibri" w:cs="Times New Roman"/>
          <w:bCs/>
          <w:color w:val="365F91"/>
        </w:rPr>
        <w:t xml:space="preserve">ferred to the charity’s CEO, </w:t>
      </w:r>
      <w:r w:rsidRPr="00D32363">
        <w:rPr>
          <w:rFonts w:ascii="Calibri" w:eastAsia="Calibri" w:hAnsi="Calibri" w:cs="Times New Roman"/>
          <w:bCs/>
          <w:color w:val="365F91"/>
        </w:rPr>
        <w:t>who will determine the investigation pr</w:t>
      </w:r>
      <w:r>
        <w:rPr>
          <w:rFonts w:ascii="Calibri" w:eastAsia="Calibri" w:hAnsi="Calibri" w:cs="Times New Roman"/>
          <w:bCs/>
          <w:color w:val="365F91"/>
        </w:rPr>
        <w:t xml:space="preserve">ocess.  </w:t>
      </w:r>
      <w:r w:rsidR="00A2422B">
        <w:rPr>
          <w:rFonts w:ascii="Calibri" w:eastAsia="Calibri" w:hAnsi="Calibri" w:cs="Times New Roman"/>
          <w:bCs/>
          <w:color w:val="365F91"/>
        </w:rPr>
        <w:t>They</w:t>
      </w:r>
      <w:r w:rsidRPr="00D32363">
        <w:rPr>
          <w:rFonts w:ascii="Calibri" w:eastAsia="Calibri" w:hAnsi="Calibri" w:cs="Times New Roman"/>
          <w:bCs/>
          <w:color w:val="365F91"/>
        </w:rPr>
        <w:t xml:space="preserve"> will advise the complainant of the process and the anticipated timescale for investigating the complaint. Once the investigation has b</w:t>
      </w:r>
      <w:r>
        <w:rPr>
          <w:rFonts w:ascii="Calibri" w:eastAsia="Calibri" w:hAnsi="Calibri" w:cs="Times New Roman"/>
          <w:bCs/>
          <w:color w:val="365F91"/>
        </w:rPr>
        <w:t xml:space="preserve">een completed, </w:t>
      </w:r>
      <w:r w:rsidRPr="00D32363">
        <w:rPr>
          <w:rFonts w:ascii="Calibri" w:eastAsia="Calibri" w:hAnsi="Calibri" w:cs="Times New Roman"/>
          <w:bCs/>
          <w:color w:val="365F91"/>
        </w:rPr>
        <w:t xml:space="preserve">the complainant </w:t>
      </w:r>
      <w:r>
        <w:rPr>
          <w:rFonts w:ascii="Calibri" w:eastAsia="Calibri" w:hAnsi="Calibri" w:cs="Times New Roman"/>
          <w:bCs/>
          <w:color w:val="365F91"/>
        </w:rPr>
        <w:t xml:space="preserve">will be advised </w:t>
      </w:r>
      <w:r w:rsidRPr="00D32363">
        <w:rPr>
          <w:rFonts w:ascii="Calibri" w:eastAsia="Calibri" w:hAnsi="Calibri" w:cs="Times New Roman"/>
          <w:bCs/>
          <w:color w:val="365F91"/>
        </w:rPr>
        <w:t xml:space="preserve">of the outcome and of the right to seek a review if dissatisfied with that outcome. </w:t>
      </w:r>
    </w:p>
    <w:p w14:paraId="1C99FA9E" w14:textId="77777777" w:rsidR="003545B5" w:rsidRPr="00D32363" w:rsidRDefault="003545B5" w:rsidP="003545B5">
      <w:pPr>
        <w:spacing w:before="120" w:after="120" w:line="276" w:lineRule="auto"/>
        <w:rPr>
          <w:rFonts w:ascii="Calibri" w:eastAsia="Calibri" w:hAnsi="Calibri" w:cs="Times New Roman"/>
          <w:b/>
          <w:bCs/>
          <w:color w:val="365F91"/>
        </w:rPr>
      </w:pPr>
      <w:r w:rsidRPr="00D32363">
        <w:rPr>
          <w:rFonts w:ascii="Calibri" w:eastAsia="Calibri" w:hAnsi="Calibri" w:cs="Times New Roman"/>
          <w:b/>
          <w:bCs/>
          <w:color w:val="365F91"/>
        </w:rPr>
        <w:t>2.2</w:t>
      </w:r>
      <w:r w:rsidRPr="00D32363">
        <w:rPr>
          <w:rFonts w:ascii="Calibri" w:eastAsia="Calibri" w:hAnsi="Calibri" w:cs="Times New Roman"/>
          <w:b/>
          <w:bCs/>
          <w:color w:val="365F91"/>
        </w:rPr>
        <w:tab/>
        <w:t>Stage</w:t>
      </w:r>
      <w:r w:rsidRPr="00D32363">
        <w:rPr>
          <w:rFonts w:ascii="Calibri" w:eastAsia="Calibri" w:hAnsi="Calibri" w:cs="Times New Roman"/>
          <w:b/>
          <w:bCs/>
          <w:color w:val="365F91"/>
          <w:sz w:val="24"/>
        </w:rPr>
        <w:t xml:space="preserve"> </w:t>
      </w:r>
      <w:r w:rsidRPr="00D32363">
        <w:rPr>
          <w:rFonts w:ascii="Calibri" w:eastAsia="Calibri" w:hAnsi="Calibri" w:cs="Times New Roman"/>
          <w:b/>
          <w:bCs/>
          <w:color w:val="365F91"/>
        </w:rPr>
        <w:t>2 – Review</w:t>
      </w:r>
    </w:p>
    <w:p w14:paraId="5A3037F8" w14:textId="2EF946F9" w:rsidR="003545B5" w:rsidRDefault="003545B5" w:rsidP="003545B5">
      <w:pPr>
        <w:spacing w:before="120" w:after="120" w:line="276" w:lineRule="auto"/>
        <w:ind w:left="720"/>
        <w:rPr>
          <w:rFonts w:ascii="Calibri" w:eastAsia="Calibri" w:hAnsi="Calibri" w:cs="Times New Roman"/>
          <w:bCs/>
          <w:color w:val="365F91"/>
        </w:rPr>
      </w:pPr>
      <w:r w:rsidRPr="00D32363">
        <w:rPr>
          <w:rFonts w:ascii="Calibri" w:eastAsia="Calibri" w:hAnsi="Calibri" w:cs="Times New Roman"/>
          <w:bCs/>
          <w:color w:val="365F91"/>
        </w:rPr>
        <w:t xml:space="preserve">If the complainant is not satisfied with the outcome of the investigation at Stage 1, </w:t>
      </w:r>
      <w:r w:rsidR="007B47D9">
        <w:rPr>
          <w:rFonts w:ascii="Calibri" w:eastAsia="Calibri" w:hAnsi="Calibri" w:cs="Times New Roman"/>
          <w:bCs/>
          <w:color w:val="365F91"/>
        </w:rPr>
        <w:t>they</w:t>
      </w:r>
      <w:r w:rsidRPr="00D32363">
        <w:rPr>
          <w:rFonts w:ascii="Calibri" w:eastAsia="Calibri" w:hAnsi="Calibri" w:cs="Times New Roman"/>
          <w:bCs/>
          <w:color w:val="365F91"/>
        </w:rPr>
        <w:t xml:space="preserve"> ha</w:t>
      </w:r>
      <w:r w:rsidR="007B47D9">
        <w:rPr>
          <w:rFonts w:ascii="Calibri" w:eastAsia="Calibri" w:hAnsi="Calibri" w:cs="Times New Roman"/>
          <w:bCs/>
          <w:color w:val="365F91"/>
        </w:rPr>
        <w:t>ve</w:t>
      </w:r>
      <w:r w:rsidRPr="00D32363">
        <w:rPr>
          <w:rFonts w:ascii="Calibri" w:eastAsia="Calibri" w:hAnsi="Calibri" w:cs="Times New Roman"/>
          <w:bCs/>
          <w:color w:val="365F91"/>
        </w:rPr>
        <w:t xml:space="preserve"> the right to ask for a review. This </w:t>
      </w:r>
      <w:proofErr w:type="gramStart"/>
      <w:r w:rsidRPr="00D32363">
        <w:rPr>
          <w:rFonts w:ascii="Calibri" w:eastAsia="Calibri" w:hAnsi="Calibri" w:cs="Times New Roman"/>
          <w:bCs/>
          <w:color w:val="365F91"/>
        </w:rPr>
        <w:t>will be normally be</w:t>
      </w:r>
      <w:proofErr w:type="gramEnd"/>
      <w:r w:rsidRPr="00D32363">
        <w:rPr>
          <w:rFonts w:ascii="Calibri" w:eastAsia="Calibri" w:hAnsi="Calibri" w:cs="Times New Roman"/>
          <w:bCs/>
          <w:color w:val="365F91"/>
        </w:rPr>
        <w:t xml:space="preserve"> ca</w:t>
      </w:r>
      <w:r>
        <w:rPr>
          <w:rFonts w:ascii="Calibri" w:eastAsia="Calibri" w:hAnsi="Calibri" w:cs="Times New Roman"/>
          <w:bCs/>
          <w:color w:val="365F91"/>
        </w:rPr>
        <w:t>rried out by the CEO</w:t>
      </w:r>
      <w:r w:rsidRPr="00D32363">
        <w:rPr>
          <w:rFonts w:ascii="Calibri" w:eastAsia="Calibri" w:hAnsi="Calibri" w:cs="Times New Roman"/>
          <w:bCs/>
          <w:color w:val="365F91"/>
        </w:rPr>
        <w:t>, who will acknowledge receipt of the request for a review and will advise the complainant of the manner in which the review will take place and the likely timescale. Fo</w:t>
      </w:r>
      <w:r>
        <w:rPr>
          <w:rFonts w:ascii="Calibri" w:eastAsia="Calibri" w:hAnsi="Calibri" w:cs="Times New Roman"/>
          <w:bCs/>
          <w:color w:val="365F91"/>
        </w:rPr>
        <w:t xml:space="preserve">llowing the review, </w:t>
      </w:r>
      <w:r>
        <w:rPr>
          <w:rFonts w:ascii="Calibri" w:eastAsia="Calibri" w:hAnsi="Calibri" w:cs="Times New Roman"/>
          <w:bCs/>
          <w:color w:val="365F91"/>
        </w:rPr>
        <w:lastRenderedPageBreak/>
        <w:t xml:space="preserve">the CEO </w:t>
      </w:r>
      <w:r w:rsidRPr="00D32363">
        <w:rPr>
          <w:rFonts w:ascii="Calibri" w:eastAsia="Calibri" w:hAnsi="Calibri" w:cs="Times New Roman"/>
          <w:bCs/>
          <w:color w:val="365F91"/>
        </w:rPr>
        <w:t xml:space="preserve">will advise the complainant of the outcome and that this is the final internal stage in the </w:t>
      </w:r>
      <w:proofErr w:type="gramStart"/>
      <w:r w:rsidRPr="00D32363">
        <w:rPr>
          <w:rFonts w:ascii="Calibri" w:eastAsia="Calibri" w:hAnsi="Calibri" w:cs="Times New Roman"/>
          <w:bCs/>
          <w:color w:val="365F91"/>
        </w:rPr>
        <w:t>complaints</w:t>
      </w:r>
      <w:proofErr w:type="gramEnd"/>
      <w:r w:rsidRPr="00D32363">
        <w:rPr>
          <w:rFonts w:ascii="Calibri" w:eastAsia="Calibri" w:hAnsi="Calibri" w:cs="Times New Roman"/>
          <w:bCs/>
          <w:color w:val="365F91"/>
        </w:rPr>
        <w:t xml:space="preserve"> procedure.</w:t>
      </w:r>
    </w:p>
    <w:p w14:paraId="06E00442" w14:textId="20E92070" w:rsidR="003545B5" w:rsidRPr="00D32363" w:rsidRDefault="003545B5" w:rsidP="003545B5">
      <w:pPr>
        <w:spacing w:before="120" w:after="120" w:line="276" w:lineRule="auto"/>
        <w:ind w:left="720"/>
        <w:rPr>
          <w:rFonts w:ascii="Calibri" w:eastAsia="Calibri" w:hAnsi="Calibri" w:cs="Times New Roman"/>
          <w:bCs/>
          <w:color w:val="365F91"/>
        </w:rPr>
      </w:pPr>
      <w:r>
        <w:rPr>
          <w:rFonts w:ascii="Calibri" w:eastAsia="Calibri" w:hAnsi="Calibri" w:cs="Times New Roman"/>
          <w:bCs/>
          <w:color w:val="365F91"/>
        </w:rPr>
        <w:t>If the CEO is unable to carry out the review, a Trustee of the charity will lead the review</w:t>
      </w:r>
      <w:r w:rsidR="007B47D9">
        <w:rPr>
          <w:rFonts w:ascii="Calibri" w:eastAsia="Calibri" w:hAnsi="Calibri" w:cs="Times New Roman"/>
          <w:bCs/>
          <w:color w:val="365F91"/>
        </w:rPr>
        <w:t xml:space="preserve"> or a</w:t>
      </w:r>
      <w:r w:rsidR="00A2422B">
        <w:rPr>
          <w:rFonts w:ascii="Calibri" w:eastAsia="Calibri" w:hAnsi="Calibri" w:cs="Times New Roman"/>
          <w:bCs/>
          <w:color w:val="365F91"/>
        </w:rPr>
        <w:t>n</w:t>
      </w:r>
      <w:r w:rsidR="007B47D9">
        <w:rPr>
          <w:rFonts w:ascii="Calibri" w:eastAsia="Calibri" w:hAnsi="Calibri" w:cs="Times New Roman"/>
          <w:bCs/>
          <w:color w:val="365F91"/>
        </w:rPr>
        <w:t xml:space="preserve"> independently appointed person.</w:t>
      </w:r>
    </w:p>
    <w:p w14:paraId="5B0FFF50" w14:textId="77777777" w:rsidR="003545B5" w:rsidRPr="00D32363" w:rsidRDefault="003545B5" w:rsidP="003545B5">
      <w:pPr>
        <w:spacing w:before="120" w:after="120" w:line="276" w:lineRule="auto"/>
        <w:rPr>
          <w:rFonts w:ascii="Calibri" w:eastAsia="Calibri" w:hAnsi="Calibri" w:cs="Times New Roman"/>
          <w:b/>
          <w:bCs/>
          <w:color w:val="365F91"/>
        </w:rPr>
      </w:pPr>
      <w:r w:rsidRPr="00D32363">
        <w:rPr>
          <w:rFonts w:ascii="Calibri" w:eastAsia="Calibri" w:hAnsi="Calibri" w:cs="Times New Roman"/>
          <w:b/>
          <w:bCs/>
          <w:color w:val="365F91"/>
        </w:rPr>
        <w:t xml:space="preserve">3. </w:t>
      </w:r>
      <w:r w:rsidRPr="00D32363">
        <w:rPr>
          <w:rFonts w:ascii="Calibri" w:eastAsia="Calibri" w:hAnsi="Calibri" w:cs="Times New Roman"/>
          <w:b/>
          <w:bCs/>
          <w:color w:val="365F91"/>
        </w:rPr>
        <w:tab/>
        <w:t>Referral to Local Authority</w:t>
      </w:r>
    </w:p>
    <w:p w14:paraId="0FC287C4" w14:textId="3D900108" w:rsidR="003545B5" w:rsidRPr="00D32363" w:rsidRDefault="003545B5" w:rsidP="003545B5">
      <w:pPr>
        <w:spacing w:before="120" w:after="120" w:line="276" w:lineRule="auto"/>
        <w:rPr>
          <w:rFonts w:ascii="Calibri" w:eastAsia="Calibri" w:hAnsi="Calibri" w:cs="Times New Roman"/>
          <w:bCs/>
          <w:color w:val="365F91"/>
        </w:rPr>
      </w:pPr>
      <w:r w:rsidRPr="00D32363">
        <w:rPr>
          <w:rFonts w:ascii="Calibri" w:eastAsia="Calibri" w:hAnsi="Calibri" w:cs="Times New Roman"/>
          <w:bCs/>
          <w:color w:val="365F91"/>
        </w:rPr>
        <w:t>If the complainant remains dissatisfied and the complain</w:t>
      </w:r>
      <w:r>
        <w:rPr>
          <w:rFonts w:ascii="Calibri" w:eastAsia="Calibri" w:hAnsi="Calibri" w:cs="Times New Roman"/>
          <w:bCs/>
          <w:color w:val="365F91"/>
        </w:rPr>
        <w:t>t relates to a service delivered under contract</w:t>
      </w:r>
      <w:r w:rsidRPr="00D32363">
        <w:rPr>
          <w:rFonts w:ascii="Calibri" w:eastAsia="Calibri" w:hAnsi="Calibri" w:cs="Times New Roman"/>
          <w:bCs/>
          <w:color w:val="365F91"/>
        </w:rPr>
        <w:t xml:space="preserve"> on behalf of a local authority, </w:t>
      </w:r>
      <w:r w:rsidR="00A2422B">
        <w:rPr>
          <w:rFonts w:ascii="Calibri" w:eastAsia="Calibri" w:hAnsi="Calibri" w:cs="Times New Roman"/>
          <w:bCs/>
          <w:color w:val="365F91"/>
        </w:rPr>
        <w:t>they</w:t>
      </w:r>
      <w:r w:rsidRPr="00D32363">
        <w:rPr>
          <w:rFonts w:ascii="Calibri" w:eastAsia="Calibri" w:hAnsi="Calibri" w:cs="Times New Roman"/>
          <w:bCs/>
          <w:color w:val="365F91"/>
        </w:rPr>
        <w:t xml:space="preserve"> will be advised that the matter can be referred to the relevant local authority department to be dealt with through its representations and complaints procedure.</w:t>
      </w:r>
    </w:p>
    <w:p w14:paraId="34DF2CAA" w14:textId="77777777" w:rsidR="003545B5" w:rsidRPr="00D32363" w:rsidRDefault="003545B5" w:rsidP="003545B5">
      <w:pPr>
        <w:spacing w:before="120" w:after="120" w:line="276" w:lineRule="auto"/>
        <w:rPr>
          <w:rFonts w:ascii="Calibri" w:eastAsia="Calibri" w:hAnsi="Calibri" w:cs="Times New Roman"/>
          <w:b/>
          <w:bCs/>
          <w:color w:val="365F91"/>
        </w:rPr>
      </w:pPr>
      <w:r w:rsidRPr="00D32363">
        <w:rPr>
          <w:rFonts w:ascii="Calibri" w:eastAsia="Calibri" w:hAnsi="Calibri" w:cs="Times New Roman"/>
          <w:b/>
          <w:bCs/>
          <w:color w:val="365F91"/>
        </w:rPr>
        <w:t xml:space="preserve">4. </w:t>
      </w:r>
      <w:r w:rsidRPr="00D32363">
        <w:rPr>
          <w:rFonts w:ascii="Calibri" w:eastAsia="Calibri" w:hAnsi="Calibri" w:cs="Times New Roman"/>
          <w:b/>
          <w:bCs/>
          <w:color w:val="365F91"/>
        </w:rPr>
        <w:tab/>
        <w:t>Timescale</w:t>
      </w:r>
    </w:p>
    <w:p w14:paraId="70C15404" w14:textId="77777777" w:rsidR="003545B5" w:rsidRPr="00D32363" w:rsidRDefault="003545B5" w:rsidP="003545B5">
      <w:pPr>
        <w:spacing w:before="120" w:after="120" w:line="276" w:lineRule="auto"/>
        <w:rPr>
          <w:rFonts w:ascii="Calibri" w:eastAsia="Calibri" w:hAnsi="Calibri" w:cs="Times New Roman"/>
          <w:bCs/>
          <w:color w:val="365F91"/>
        </w:rPr>
      </w:pPr>
      <w:r w:rsidRPr="00D32363">
        <w:rPr>
          <w:rFonts w:ascii="Calibri" w:eastAsia="Calibri" w:hAnsi="Calibri" w:cs="Times New Roman"/>
          <w:bCs/>
          <w:color w:val="365F91"/>
        </w:rPr>
        <w:t xml:space="preserve">The internal procedures will not normally exceed 20 working days at each stage. Any extension of that period should be agreed between all the parties. </w:t>
      </w:r>
    </w:p>
    <w:p w14:paraId="43C10AA0" w14:textId="77777777" w:rsidR="003545B5" w:rsidRPr="00D32363" w:rsidRDefault="003545B5" w:rsidP="003545B5">
      <w:pPr>
        <w:spacing w:before="120" w:after="120" w:line="276" w:lineRule="auto"/>
        <w:rPr>
          <w:rFonts w:ascii="Calibri" w:eastAsia="Calibri" w:hAnsi="Calibri" w:cs="Times New Roman"/>
          <w:b/>
          <w:bCs/>
          <w:color w:val="365F91"/>
        </w:rPr>
      </w:pPr>
      <w:r w:rsidRPr="00D32363">
        <w:rPr>
          <w:rFonts w:ascii="Calibri" w:eastAsia="Calibri" w:hAnsi="Calibri" w:cs="Times New Roman"/>
          <w:b/>
          <w:bCs/>
          <w:color w:val="365F91"/>
        </w:rPr>
        <w:t xml:space="preserve">5. </w:t>
      </w:r>
      <w:r w:rsidRPr="00D32363">
        <w:rPr>
          <w:rFonts w:ascii="Calibri" w:eastAsia="Calibri" w:hAnsi="Calibri" w:cs="Times New Roman"/>
          <w:b/>
          <w:bCs/>
          <w:color w:val="365F91"/>
        </w:rPr>
        <w:tab/>
        <w:t>Accessibility</w:t>
      </w:r>
    </w:p>
    <w:p w14:paraId="5FC168A0" w14:textId="77777777" w:rsidR="003545B5" w:rsidRPr="00D32363" w:rsidRDefault="003545B5" w:rsidP="003545B5">
      <w:pPr>
        <w:spacing w:before="120" w:after="120" w:line="276" w:lineRule="auto"/>
        <w:rPr>
          <w:rFonts w:ascii="Calibri" w:eastAsia="Calibri" w:hAnsi="Calibri" w:cs="Times New Roman"/>
          <w:bCs/>
          <w:color w:val="365F91"/>
        </w:rPr>
      </w:pPr>
      <w:r w:rsidRPr="00D32363">
        <w:rPr>
          <w:rFonts w:ascii="Calibri" w:eastAsia="Calibri" w:hAnsi="Calibri" w:cs="Times New Roman"/>
          <w:bCs/>
          <w:color w:val="365F91"/>
        </w:rPr>
        <w:t xml:space="preserve">The charity will </w:t>
      </w:r>
      <w:proofErr w:type="gramStart"/>
      <w:r w:rsidRPr="00D32363">
        <w:rPr>
          <w:rFonts w:ascii="Calibri" w:eastAsia="Calibri" w:hAnsi="Calibri" w:cs="Times New Roman"/>
          <w:bCs/>
          <w:color w:val="365F91"/>
        </w:rPr>
        <w:t>make arrangements</w:t>
      </w:r>
      <w:proofErr w:type="gramEnd"/>
      <w:r w:rsidRPr="00D32363">
        <w:rPr>
          <w:rFonts w:ascii="Calibri" w:eastAsia="Calibri" w:hAnsi="Calibri" w:cs="Times New Roman"/>
          <w:bCs/>
          <w:color w:val="365F91"/>
        </w:rPr>
        <w:t xml:space="preserve"> for this procedure to be available in accessible formats and for the processes to be conducted in ways that are sensitive to age, culture, needs and understanding.</w:t>
      </w:r>
      <w:r w:rsidRPr="00D32363">
        <w:rPr>
          <w:rFonts w:ascii="Calibri" w:eastAsia="Calibri" w:hAnsi="Calibri" w:cs="Times New Roman"/>
          <w:color w:val="365F91"/>
        </w:rPr>
        <w:t xml:space="preserve"> </w:t>
      </w:r>
    </w:p>
    <w:p w14:paraId="19D7AD6D" w14:textId="77777777" w:rsidR="003545B5" w:rsidRPr="00D32363" w:rsidRDefault="003545B5" w:rsidP="003545B5">
      <w:pPr>
        <w:spacing w:before="120" w:after="120" w:line="276" w:lineRule="auto"/>
        <w:rPr>
          <w:rFonts w:ascii="Calibri" w:eastAsia="Calibri" w:hAnsi="Calibri" w:cs="Times New Roman"/>
          <w:color w:val="365F91"/>
        </w:rPr>
      </w:pPr>
      <w:r w:rsidRPr="00D32363">
        <w:rPr>
          <w:rFonts w:ascii="Calibri" w:eastAsia="Calibri" w:hAnsi="Calibri" w:cs="Times New Roman"/>
          <w:b/>
          <w:bCs/>
          <w:color w:val="365F91"/>
        </w:rPr>
        <w:t xml:space="preserve">6. </w:t>
      </w:r>
      <w:r w:rsidRPr="00D32363">
        <w:rPr>
          <w:rFonts w:ascii="Calibri" w:eastAsia="Calibri" w:hAnsi="Calibri" w:cs="Times New Roman"/>
          <w:b/>
          <w:bCs/>
          <w:color w:val="365F91"/>
        </w:rPr>
        <w:tab/>
        <w:t xml:space="preserve">Confidentiality and Disclosure of Information </w:t>
      </w:r>
    </w:p>
    <w:p w14:paraId="0224E646" w14:textId="77777777" w:rsidR="003545B5" w:rsidRPr="00D32363" w:rsidRDefault="003545B5" w:rsidP="003545B5">
      <w:pPr>
        <w:spacing w:before="120" w:after="120" w:line="276" w:lineRule="auto"/>
        <w:rPr>
          <w:rFonts w:ascii="Calibri" w:eastAsia="Calibri" w:hAnsi="Calibri" w:cs="Times New Roman"/>
          <w:color w:val="365F91"/>
        </w:rPr>
      </w:pPr>
      <w:r w:rsidRPr="00D32363">
        <w:rPr>
          <w:rFonts w:ascii="Calibri" w:eastAsia="Calibri" w:hAnsi="Calibri" w:cs="Times New Roman"/>
          <w:color w:val="365F91"/>
        </w:rPr>
        <w:t xml:space="preserve">The charity must ensure that they do not disclose confidential information to anyone who does not have the right to receive it. Where information is </w:t>
      </w:r>
      <w:proofErr w:type="gramStart"/>
      <w:r w:rsidRPr="00D32363">
        <w:rPr>
          <w:rFonts w:ascii="Calibri" w:eastAsia="Calibri" w:hAnsi="Calibri" w:cs="Times New Roman"/>
          <w:color w:val="365F91"/>
        </w:rPr>
        <w:t>disclosed</w:t>
      </w:r>
      <w:proofErr w:type="gramEnd"/>
      <w:r w:rsidRPr="00D32363">
        <w:rPr>
          <w:rFonts w:ascii="Calibri" w:eastAsia="Calibri" w:hAnsi="Calibri" w:cs="Times New Roman"/>
          <w:color w:val="365F91"/>
        </w:rPr>
        <w:t xml:space="preserve"> this should be in line with the principles of the Data Protection Act </w:t>
      </w:r>
      <w:r>
        <w:rPr>
          <w:rFonts w:ascii="Calibri" w:eastAsia="Calibri" w:hAnsi="Calibri" w:cs="Times New Roman"/>
          <w:color w:val="365F91"/>
        </w:rPr>
        <w:t>201</w:t>
      </w:r>
      <w:r w:rsidRPr="00D32363">
        <w:rPr>
          <w:rFonts w:ascii="Calibri" w:eastAsia="Calibri" w:hAnsi="Calibri" w:cs="Times New Roman"/>
          <w:color w:val="365F91"/>
        </w:rPr>
        <w:t xml:space="preserve">8. Equally the charity should not prevent another person from gaining access to information to which that person is entitled by law. If there is doubt about </w:t>
      </w:r>
      <w:proofErr w:type="gramStart"/>
      <w:r w:rsidRPr="00D32363">
        <w:rPr>
          <w:rFonts w:ascii="Calibri" w:eastAsia="Calibri" w:hAnsi="Calibri" w:cs="Times New Roman"/>
          <w:color w:val="365F91"/>
        </w:rPr>
        <w:t>whether or not</w:t>
      </w:r>
      <w:proofErr w:type="gramEnd"/>
      <w:r w:rsidRPr="00D32363">
        <w:rPr>
          <w:rFonts w:ascii="Calibri" w:eastAsia="Calibri" w:hAnsi="Calibri" w:cs="Times New Roman"/>
          <w:color w:val="365F91"/>
        </w:rPr>
        <w:t xml:space="preserve"> to share information, advice must be sought from an appropriate senior member of staff i.e. the CEO. </w:t>
      </w:r>
    </w:p>
    <w:p w14:paraId="5CA2BD55" w14:textId="77777777" w:rsidR="003545B5" w:rsidRPr="000D750C" w:rsidRDefault="003545B5" w:rsidP="003545B5">
      <w:pPr>
        <w:spacing w:before="120" w:after="120" w:line="276" w:lineRule="auto"/>
        <w:rPr>
          <w:rFonts w:ascii="Calibri" w:eastAsia="Calibri" w:hAnsi="Calibri" w:cs="Times New Roman"/>
          <w:b/>
          <w:color w:val="1F4E79" w:themeColor="accent1" w:themeShade="80"/>
        </w:rPr>
      </w:pPr>
      <w:r w:rsidRPr="000D750C">
        <w:rPr>
          <w:rFonts w:ascii="Calibri" w:eastAsia="Calibri" w:hAnsi="Calibri" w:cs="Times New Roman"/>
          <w:b/>
          <w:color w:val="1F4E79" w:themeColor="accent1" w:themeShade="80"/>
        </w:rPr>
        <w:t>7.</w:t>
      </w:r>
      <w:r w:rsidRPr="000D750C">
        <w:rPr>
          <w:rFonts w:ascii="Calibri" w:eastAsia="Calibri" w:hAnsi="Calibri" w:cs="Times New Roman"/>
          <w:b/>
          <w:color w:val="1F4E79" w:themeColor="accent1" w:themeShade="80"/>
        </w:rPr>
        <w:tab/>
        <w:t>Accountability and Responsibility</w:t>
      </w:r>
    </w:p>
    <w:p w14:paraId="6A463EAB" w14:textId="77777777" w:rsidR="003545B5" w:rsidRPr="000D750C" w:rsidRDefault="003545B5" w:rsidP="003545B5">
      <w:pPr>
        <w:spacing w:before="120" w:after="120" w:line="276" w:lineRule="auto"/>
        <w:rPr>
          <w:rFonts w:ascii="Calibri" w:eastAsia="Calibri" w:hAnsi="Calibri" w:cs="Times New Roman"/>
          <w:color w:val="1F4E79" w:themeColor="accent1" w:themeShade="80"/>
        </w:rPr>
      </w:pPr>
      <w:r w:rsidRPr="000D750C">
        <w:rPr>
          <w:rFonts w:ascii="Calibri" w:eastAsia="Calibri" w:hAnsi="Calibri" w:cs="Times New Roman"/>
          <w:color w:val="1F4E79" w:themeColor="accent1" w:themeShade="80"/>
        </w:rPr>
        <w:t>The Chief Executive Officer is responsible for the accountability and implementation of this policy.</w:t>
      </w:r>
    </w:p>
    <w:p w14:paraId="23DF2055" w14:textId="77777777" w:rsidR="003545B5" w:rsidRPr="000D750C" w:rsidRDefault="003545B5" w:rsidP="003545B5">
      <w:pPr>
        <w:spacing w:before="120" w:after="120" w:line="276" w:lineRule="auto"/>
        <w:rPr>
          <w:rFonts w:ascii="Calibri" w:eastAsia="Calibri" w:hAnsi="Calibri" w:cs="Times New Roman"/>
          <w:b/>
          <w:color w:val="1F4E79" w:themeColor="accent1" w:themeShade="80"/>
        </w:rPr>
      </w:pPr>
      <w:r w:rsidRPr="000D750C">
        <w:rPr>
          <w:rFonts w:ascii="Calibri" w:eastAsia="Calibri" w:hAnsi="Calibri" w:cs="Times New Roman"/>
          <w:b/>
          <w:color w:val="1F4E79" w:themeColor="accent1" w:themeShade="80"/>
        </w:rPr>
        <w:t>8.</w:t>
      </w:r>
      <w:r w:rsidRPr="000D750C">
        <w:rPr>
          <w:rFonts w:ascii="Calibri" w:eastAsia="Calibri" w:hAnsi="Calibri" w:cs="Times New Roman"/>
          <w:b/>
          <w:color w:val="1F4E79" w:themeColor="accent1" w:themeShade="80"/>
        </w:rPr>
        <w:tab/>
        <w:t>Monitoring and Review</w:t>
      </w:r>
    </w:p>
    <w:p w14:paraId="41E81A2C" w14:textId="77777777" w:rsidR="003545B5" w:rsidRPr="000D750C" w:rsidRDefault="003545B5" w:rsidP="003545B5">
      <w:pPr>
        <w:spacing w:before="120" w:after="120" w:line="276" w:lineRule="auto"/>
        <w:rPr>
          <w:rFonts w:ascii="Calibri" w:eastAsia="Calibri" w:hAnsi="Calibri" w:cs="Times New Roman"/>
          <w:color w:val="1F4E79" w:themeColor="accent1" w:themeShade="80"/>
        </w:rPr>
      </w:pPr>
      <w:r w:rsidRPr="000D750C">
        <w:rPr>
          <w:rFonts w:ascii="Calibri" w:eastAsia="Calibri" w:hAnsi="Calibri" w:cs="Times New Roman"/>
          <w:color w:val="1F4E79" w:themeColor="accent1" w:themeShade="80"/>
        </w:rPr>
        <w:t xml:space="preserve">This policy will be monitored and reviewed by the Board of Trustees </w:t>
      </w:r>
      <w:proofErr w:type="gramStart"/>
      <w:r w:rsidRPr="000D750C">
        <w:rPr>
          <w:rFonts w:ascii="Calibri" w:eastAsia="Calibri" w:hAnsi="Calibri" w:cs="Times New Roman"/>
          <w:color w:val="1F4E79" w:themeColor="accent1" w:themeShade="80"/>
        </w:rPr>
        <w:t>with</w:t>
      </w:r>
      <w:proofErr w:type="gramEnd"/>
      <w:r w:rsidRPr="000D750C">
        <w:rPr>
          <w:rFonts w:ascii="Calibri" w:eastAsia="Calibri" w:hAnsi="Calibri" w:cs="Times New Roman"/>
          <w:color w:val="1F4E79" w:themeColor="accent1" w:themeShade="80"/>
        </w:rPr>
        <w:t xml:space="preserve"> and complaints will be reported to the Board annually in the form of a ‘Register of Formal Complaints’.</w:t>
      </w:r>
    </w:p>
    <w:p w14:paraId="0040D3CB" w14:textId="77777777" w:rsidR="003545B5" w:rsidRPr="000D750C" w:rsidRDefault="003545B5" w:rsidP="003545B5">
      <w:pPr>
        <w:spacing w:before="120" w:after="120" w:line="276" w:lineRule="auto"/>
        <w:rPr>
          <w:rFonts w:ascii="Calibri" w:eastAsia="Calibri" w:hAnsi="Calibri" w:cs="Times New Roman"/>
          <w:b/>
          <w:color w:val="1F4E79" w:themeColor="accent1" w:themeShade="80"/>
        </w:rPr>
      </w:pPr>
      <w:r w:rsidRPr="000D750C">
        <w:rPr>
          <w:rFonts w:ascii="Calibri" w:eastAsia="Calibri" w:hAnsi="Calibri" w:cs="Times New Roman"/>
          <w:b/>
          <w:color w:val="1F4E79" w:themeColor="accent1" w:themeShade="80"/>
        </w:rPr>
        <w:t>9.</w:t>
      </w:r>
      <w:r w:rsidRPr="000D750C">
        <w:rPr>
          <w:rFonts w:ascii="Calibri" w:eastAsia="Calibri" w:hAnsi="Calibri" w:cs="Times New Roman"/>
          <w:b/>
          <w:color w:val="1F4E79" w:themeColor="accent1" w:themeShade="80"/>
        </w:rPr>
        <w:tab/>
        <w:t>Communications</w:t>
      </w:r>
    </w:p>
    <w:p w14:paraId="5209C300" w14:textId="77777777" w:rsidR="003545B5" w:rsidRPr="000D750C" w:rsidRDefault="003545B5" w:rsidP="003545B5">
      <w:pPr>
        <w:spacing w:before="120" w:after="120" w:line="276" w:lineRule="auto"/>
        <w:rPr>
          <w:rFonts w:ascii="Calibri" w:eastAsia="Calibri" w:hAnsi="Calibri" w:cs="Times New Roman"/>
          <w:color w:val="1F4E79" w:themeColor="accent1" w:themeShade="80"/>
        </w:rPr>
      </w:pPr>
      <w:r w:rsidRPr="000D750C">
        <w:rPr>
          <w:rFonts w:ascii="Calibri" w:eastAsia="Calibri" w:hAnsi="Calibri" w:cs="Times New Roman"/>
          <w:color w:val="1F4E79" w:themeColor="accent1" w:themeShade="80"/>
        </w:rPr>
        <w:t xml:space="preserve">This policy will be communicated to trustees, staff and volunteers to implement into their practices and is available </w:t>
      </w:r>
      <w:r>
        <w:rPr>
          <w:rFonts w:ascii="Calibri" w:eastAsia="Calibri" w:hAnsi="Calibri" w:cs="Times New Roman"/>
          <w:color w:val="1F4E79" w:themeColor="accent1" w:themeShade="80"/>
        </w:rPr>
        <w:t xml:space="preserve">online or in hard copy. </w:t>
      </w:r>
      <w:r w:rsidRPr="000D750C">
        <w:rPr>
          <w:rFonts w:ascii="Calibri" w:eastAsia="Calibri" w:hAnsi="Calibri" w:cs="Times New Roman"/>
          <w:color w:val="1F4E79" w:themeColor="accent1" w:themeShade="80"/>
        </w:rPr>
        <w:t>This policy is</w:t>
      </w:r>
      <w:r>
        <w:rPr>
          <w:rFonts w:ascii="Calibri" w:eastAsia="Calibri" w:hAnsi="Calibri" w:cs="Times New Roman"/>
          <w:color w:val="1F4E79" w:themeColor="accent1" w:themeShade="80"/>
        </w:rPr>
        <w:t xml:space="preserve"> also</w:t>
      </w:r>
      <w:r w:rsidRPr="000D750C">
        <w:rPr>
          <w:rFonts w:ascii="Calibri" w:eastAsia="Calibri" w:hAnsi="Calibri" w:cs="Times New Roman"/>
          <w:color w:val="1F4E79" w:themeColor="accent1" w:themeShade="80"/>
        </w:rPr>
        <w:t xml:space="preserve"> readily available to external stakeholders electronically or by hard copy on request. </w:t>
      </w:r>
    </w:p>
    <w:p w14:paraId="5B8AAFF1" w14:textId="646716EB" w:rsidR="003545B5" w:rsidRPr="00BE0888" w:rsidRDefault="003545B5" w:rsidP="003545B5">
      <w:pPr>
        <w:spacing w:before="120" w:after="120" w:line="276" w:lineRule="auto"/>
        <w:rPr>
          <w:rFonts w:ascii="Calibri" w:eastAsia="Calibri" w:hAnsi="Calibri" w:cs="Times New Roman"/>
          <w:b/>
          <w:color w:val="1F497D"/>
        </w:rPr>
      </w:pPr>
      <w:r w:rsidRPr="00D32363">
        <w:rPr>
          <w:rFonts w:ascii="Calibri" w:eastAsia="Calibri" w:hAnsi="Calibri" w:cs="Times New Roman"/>
          <w:b/>
          <w:color w:val="1F497D"/>
        </w:rPr>
        <w:t xml:space="preserve"> </w:t>
      </w:r>
      <w:proofErr w:type="gramStart"/>
      <w:r w:rsidRPr="00D32363">
        <w:rPr>
          <w:rFonts w:ascii="Calibri" w:eastAsia="Calibri" w:hAnsi="Calibri" w:cs="Times New Roman"/>
          <w:b/>
          <w:color w:val="1F497D"/>
        </w:rPr>
        <w:t>Reviewed  |</w:t>
      </w:r>
      <w:proofErr w:type="gramEnd"/>
      <w:r w:rsidRPr="00D32363">
        <w:rPr>
          <w:rFonts w:ascii="Calibri" w:eastAsia="Calibri" w:hAnsi="Calibri" w:cs="Times New Roman"/>
          <w:b/>
          <w:color w:val="1F497D"/>
        </w:rPr>
        <w:t xml:space="preserve"> </w:t>
      </w:r>
      <w:r w:rsidR="00A2422B">
        <w:rPr>
          <w:rFonts w:ascii="Calibri" w:eastAsia="Calibri" w:hAnsi="Calibri" w:cs="Times New Roman"/>
          <w:b/>
          <w:color w:val="E36C0A"/>
        </w:rPr>
        <w:t>February 2025</w:t>
      </w:r>
    </w:p>
    <w:p w14:paraId="2AFB90CC" w14:textId="77777777" w:rsidR="000A5BEE" w:rsidRDefault="000A5BEE" w:rsidP="00270FE3">
      <w:pPr>
        <w:tabs>
          <w:tab w:val="left" w:pos="6061"/>
        </w:tabs>
      </w:pPr>
    </w:p>
    <w:p w14:paraId="65F2E1FC" w14:textId="77777777" w:rsidR="00BB7BC1" w:rsidRDefault="00BB7BC1" w:rsidP="00270FE3">
      <w:pPr>
        <w:tabs>
          <w:tab w:val="left" w:pos="6061"/>
        </w:tabs>
      </w:pPr>
    </w:p>
    <w:p w14:paraId="3C79842B" w14:textId="5D0FE662" w:rsidR="00BB7BC1" w:rsidRDefault="00BB7BC1" w:rsidP="00270FE3">
      <w:pPr>
        <w:tabs>
          <w:tab w:val="left" w:pos="6061"/>
        </w:tabs>
        <w:rPr>
          <w:b/>
          <w:bCs/>
        </w:rPr>
      </w:pPr>
      <w:r w:rsidRPr="00BB7BC1">
        <w:rPr>
          <w:b/>
          <w:bCs/>
        </w:rPr>
        <w:t>Appendix</w:t>
      </w:r>
      <w:r>
        <w:rPr>
          <w:b/>
          <w:bCs/>
        </w:rPr>
        <w:t xml:space="preserve"> | Senior Management Team:</w:t>
      </w:r>
    </w:p>
    <w:p w14:paraId="72FD58E0" w14:textId="77777777" w:rsidR="00BB7BC1" w:rsidRDefault="00BB7BC1" w:rsidP="00270FE3">
      <w:pPr>
        <w:tabs>
          <w:tab w:val="left" w:pos="6061"/>
        </w:tabs>
        <w:rPr>
          <w:b/>
          <w:bCs/>
        </w:rPr>
      </w:pPr>
    </w:p>
    <w:p w14:paraId="5D4DDD57" w14:textId="19242FBB" w:rsidR="00BB7BC1" w:rsidRPr="00BB7BC1" w:rsidRDefault="00BB7BC1" w:rsidP="00270FE3">
      <w:pPr>
        <w:tabs>
          <w:tab w:val="left" w:pos="6061"/>
        </w:tabs>
      </w:pPr>
      <w:r w:rsidRPr="00BB7BC1">
        <w:t>Advocacy Programmes – Anna Withers</w:t>
      </w:r>
    </w:p>
    <w:p w14:paraId="0B9331A3" w14:textId="57049578" w:rsidR="00BB7BC1" w:rsidRPr="00BB7BC1" w:rsidRDefault="00BB7BC1" w:rsidP="00270FE3">
      <w:pPr>
        <w:tabs>
          <w:tab w:val="left" w:pos="6061"/>
        </w:tabs>
      </w:pPr>
      <w:hyperlink r:id="rId6" w:history="1">
        <w:r w:rsidRPr="00BB7BC1">
          <w:rPr>
            <w:rStyle w:val="Hyperlink"/>
          </w:rPr>
          <w:t>Anna.withers@ylf.org.uk</w:t>
        </w:r>
      </w:hyperlink>
    </w:p>
    <w:p w14:paraId="06311936" w14:textId="77777777" w:rsidR="00BB7BC1" w:rsidRPr="00BB7BC1" w:rsidRDefault="00BB7BC1" w:rsidP="00270FE3">
      <w:pPr>
        <w:tabs>
          <w:tab w:val="left" w:pos="6061"/>
        </w:tabs>
      </w:pPr>
    </w:p>
    <w:p w14:paraId="12C861A6" w14:textId="754F7C63" w:rsidR="00BB7BC1" w:rsidRPr="00BB7BC1" w:rsidRDefault="00BB7BC1" w:rsidP="00270FE3">
      <w:pPr>
        <w:tabs>
          <w:tab w:val="left" w:pos="6061"/>
        </w:tabs>
      </w:pPr>
      <w:r w:rsidRPr="00BB7BC1">
        <w:t>Youth Programmes – Kristy Tidey</w:t>
      </w:r>
    </w:p>
    <w:p w14:paraId="62924CAE" w14:textId="74669CBF" w:rsidR="00BB7BC1" w:rsidRPr="00BB7BC1" w:rsidRDefault="00BB7BC1" w:rsidP="00270FE3">
      <w:pPr>
        <w:tabs>
          <w:tab w:val="left" w:pos="6061"/>
        </w:tabs>
      </w:pPr>
      <w:hyperlink r:id="rId7" w:history="1">
        <w:r w:rsidRPr="00BB7BC1">
          <w:rPr>
            <w:rStyle w:val="Hyperlink"/>
          </w:rPr>
          <w:t>Kristy.tidey@ylf.org.uk</w:t>
        </w:r>
      </w:hyperlink>
    </w:p>
    <w:p w14:paraId="60F9DED3" w14:textId="77777777" w:rsidR="00BB7BC1" w:rsidRPr="00BB7BC1" w:rsidRDefault="00BB7BC1" w:rsidP="00270FE3">
      <w:pPr>
        <w:tabs>
          <w:tab w:val="left" w:pos="6061"/>
        </w:tabs>
      </w:pPr>
    </w:p>
    <w:p w14:paraId="3FBFCFD3" w14:textId="205405CD" w:rsidR="00BB7BC1" w:rsidRPr="00BB7BC1" w:rsidRDefault="00BB7BC1" w:rsidP="00270FE3">
      <w:pPr>
        <w:tabs>
          <w:tab w:val="left" w:pos="6061"/>
        </w:tabs>
      </w:pPr>
      <w:r w:rsidRPr="00BB7BC1">
        <w:t>Fundraising and Marketing – Neil Vickery</w:t>
      </w:r>
    </w:p>
    <w:p w14:paraId="13030B1D" w14:textId="0236D3E4" w:rsidR="00BB7BC1" w:rsidRDefault="00BB7BC1" w:rsidP="00270FE3">
      <w:pPr>
        <w:tabs>
          <w:tab w:val="left" w:pos="6061"/>
        </w:tabs>
      </w:pPr>
      <w:hyperlink r:id="rId8" w:history="1">
        <w:r w:rsidRPr="00BB7BC1">
          <w:rPr>
            <w:rStyle w:val="Hyperlink"/>
          </w:rPr>
          <w:t>Neil.vickery@ylf.org.uk</w:t>
        </w:r>
      </w:hyperlink>
      <w:r w:rsidRPr="00BB7BC1">
        <w:t xml:space="preserve"> </w:t>
      </w:r>
    </w:p>
    <w:p w14:paraId="5F3EA186" w14:textId="77777777" w:rsidR="00BB7BC1" w:rsidRDefault="00BB7BC1" w:rsidP="00270FE3">
      <w:pPr>
        <w:tabs>
          <w:tab w:val="left" w:pos="6061"/>
        </w:tabs>
      </w:pPr>
    </w:p>
    <w:p w14:paraId="28409546" w14:textId="57162C2A" w:rsidR="00BB7BC1" w:rsidRDefault="00BB7BC1" w:rsidP="00270FE3">
      <w:pPr>
        <w:tabs>
          <w:tab w:val="left" w:pos="6061"/>
        </w:tabs>
      </w:pPr>
      <w:r>
        <w:t>General complaints can be sent to:</w:t>
      </w:r>
    </w:p>
    <w:p w14:paraId="74EE01E2" w14:textId="25BA6763" w:rsidR="00BB7BC1" w:rsidRPr="00BB7BC1" w:rsidRDefault="00BB7BC1" w:rsidP="00270FE3">
      <w:pPr>
        <w:tabs>
          <w:tab w:val="left" w:pos="6061"/>
        </w:tabs>
      </w:pPr>
      <w:hyperlink r:id="rId9" w:history="1">
        <w:r w:rsidRPr="00A04979">
          <w:rPr>
            <w:rStyle w:val="Hyperlink"/>
          </w:rPr>
          <w:t>feedback@ylf.org.uk</w:t>
        </w:r>
      </w:hyperlink>
      <w:r>
        <w:t xml:space="preserve"> </w:t>
      </w:r>
    </w:p>
    <w:p w14:paraId="78300F44" w14:textId="77777777" w:rsidR="00BB7BC1" w:rsidRDefault="00BB7BC1" w:rsidP="00270FE3">
      <w:pPr>
        <w:tabs>
          <w:tab w:val="left" w:pos="6061"/>
        </w:tabs>
      </w:pPr>
    </w:p>
    <w:p w14:paraId="6EF7DCAD" w14:textId="77777777" w:rsidR="00BB7BC1" w:rsidRDefault="00BB7BC1" w:rsidP="00270FE3">
      <w:pPr>
        <w:tabs>
          <w:tab w:val="left" w:pos="6061"/>
        </w:tabs>
      </w:pPr>
    </w:p>
    <w:sectPr w:rsidR="00BB7BC1" w:rsidSect="004673AE">
      <w:headerReference w:type="default" r:id="rId10"/>
      <w:footerReference w:type="default" r:id="rId11"/>
      <w:pgSz w:w="11906" w:h="16838"/>
      <w:pgMar w:top="1701" w:right="1440" w:bottom="2694" w:left="1440" w:header="708" w:footer="19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05D0F" w14:textId="77777777" w:rsidR="004673AE" w:rsidRDefault="004673AE" w:rsidP="00EC0DFD">
      <w:pPr>
        <w:spacing w:after="0" w:line="240" w:lineRule="auto"/>
      </w:pPr>
      <w:r>
        <w:separator/>
      </w:r>
    </w:p>
  </w:endnote>
  <w:endnote w:type="continuationSeparator" w:id="0">
    <w:p w14:paraId="2279BE59" w14:textId="77777777" w:rsidR="004673AE" w:rsidRDefault="004673AE" w:rsidP="00EC0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48C36" w14:textId="3D7761D1" w:rsidR="003B1CBA" w:rsidRDefault="00A82A71">
    <w:pPr>
      <w:pStyle w:val="Footer"/>
    </w:pPr>
    <w:r>
      <w:rPr>
        <w:noProof/>
      </w:rPr>
      <w:drawing>
        <wp:anchor distT="0" distB="0" distL="114300" distR="114300" simplePos="0" relativeHeight="251662336" behindDoc="0" locked="0" layoutInCell="1" allowOverlap="1" wp14:anchorId="27F070A2" wp14:editId="67406411">
          <wp:simplePos x="0" y="0"/>
          <wp:positionH relativeFrom="margin">
            <wp:align>center</wp:align>
          </wp:positionH>
          <wp:positionV relativeFrom="page">
            <wp:posOffset>8893175</wp:posOffset>
          </wp:positionV>
          <wp:extent cx="7610475" cy="1826260"/>
          <wp:effectExtent l="0" t="0" r="9525" b="2540"/>
          <wp:wrapNone/>
          <wp:docPr id="1871690231"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303029" name="Picture 2"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10475" cy="18262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46FA2D" w14:textId="77777777" w:rsidR="004673AE" w:rsidRDefault="004673AE" w:rsidP="00EC0DFD">
      <w:pPr>
        <w:spacing w:after="0" w:line="240" w:lineRule="auto"/>
      </w:pPr>
      <w:r>
        <w:separator/>
      </w:r>
    </w:p>
  </w:footnote>
  <w:footnote w:type="continuationSeparator" w:id="0">
    <w:p w14:paraId="085124AB" w14:textId="77777777" w:rsidR="004673AE" w:rsidRDefault="004673AE" w:rsidP="00EC0D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85558" w14:textId="4EBD98F4" w:rsidR="00E7060B" w:rsidRPr="00E7060B" w:rsidRDefault="00E7060B" w:rsidP="00E7060B">
    <w:pPr>
      <w:pStyle w:val="Header"/>
      <w:rPr>
        <w:b/>
        <w:color w:val="004B82"/>
      </w:rPr>
    </w:pPr>
    <w:r>
      <w:rPr>
        <w:b/>
        <w:noProof/>
        <w:color w:val="004B82"/>
      </w:rPr>
      <w:drawing>
        <wp:anchor distT="0" distB="0" distL="114300" distR="114300" simplePos="0" relativeHeight="251663360" behindDoc="0" locked="0" layoutInCell="1" allowOverlap="1" wp14:anchorId="106A53A5" wp14:editId="17076D62">
          <wp:simplePos x="0" y="0"/>
          <wp:positionH relativeFrom="column">
            <wp:posOffset>5076825</wp:posOffset>
          </wp:positionH>
          <wp:positionV relativeFrom="paragraph">
            <wp:posOffset>-211455</wp:posOffset>
          </wp:positionV>
          <wp:extent cx="904875" cy="904875"/>
          <wp:effectExtent l="0" t="0" r="0" b="0"/>
          <wp:wrapNone/>
          <wp:docPr id="2042382268"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382268" name="Picture 1"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04875" cy="904875"/>
                  </a:xfrm>
                  <a:prstGeom prst="rect">
                    <a:avLst/>
                  </a:prstGeom>
                </pic:spPr>
              </pic:pic>
            </a:graphicData>
          </a:graphic>
          <wp14:sizeRelH relativeFrom="margin">
            <wp14:pctWidth>0</wp14:pctWidth>
          </wp14:sizeRelH>
          <wp14:sizeRelV relativeFrom="margin">
            <wp14:pctHeight>0</wp14:pctHeight>
          </wp14:sizeRelV>
        </wp:anchor>
      </w:drawing>
    </w:r>
    <w:r w:rsidRPr="00E7060B">
      <w:rPr>
        <w:b/>
        <w:color w:val="004B82"/>
      </w:rPr>
      <w:t xml:space="preserve">Young Lives Foundation | </w:t>
    </w:r>
    <w:r w:rsidR="003545B5">
      <w:rPr>
        <w:b/>
        <w:color w:val="004B82"/>
      </w:rPr>
      <w:t>YLF Policies</w:t>
    </w:r>
  </w:p>
  <w:p w14:paraId="13BED335" w14:textId="3B8B47B4" w:rsidR="00E7060B" w:rsidRPr="00E7060B" w:rsidRDefault="003545B5" w:rsidP="00E7060B">
    <w:pPr>
      <w:pStyle w:val="Header"/>
      <w:rPr>
        <w:b/>
        <w:color w:val="004B82"/>
      </w:rPr>
    </w:pPr>
    <w:r>
      <w:rPr>
        <w:b/>
        <w:color w:val="004B82"/>
      </w:rPr>
      <w:t>YLF Complaints Procedure</w:t>
    </w:r>
  </w:p>
  <w:p w14:paraId="1B2306CA" w14:textId="77777777" w:rsidR="003B1CBA" w:rsidRDefault="003B1CBA" w:rsidP="00EC0DFD">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DFD"/>
    <w:rsid w:val="0000010D"/>
    <w:rsid w:val="00016071"/>
    <w:rsid w:val="00064877"/>
    <w:rsid w:val="000A5BEE"/>
    <w:rsid w:val="000F1EF9"/>
    <w:rsid w:val="00146F12"/>
    <w:rsid w:val="001F7004"/>
    <w:rsid w:val="00205C24"/>
    <w:rsid w:val="002412DA"/>
    <w:rsid w:val="00270FE3"/>
    <w:rsid w:val="002B64C8"/>
    <w:rsid w:val="003545B5"/>
    <w:rsid w:val="00356E7B"/>
    <w:rsid w:val="003B1CBA"/>
    <w:rsid w:val="003D14F4"/>
    <w:rsid w:val="00452E4F"/>
    <w:rsid w:val="004673AE"/>
    <w:rsid w:val="004D35B9"/>
    <w:rsid w:val="00581CA1"/>
    <w:rsid w:val="00583503"/>
    <w:rsid w:val="005A4BF0"/>
    <w:rsid w:val="007A0BFC"/>
    <w:rsid w:val="007B0677"/>
    <w:rsid w:val="007B47D9"/>
    <w:rsid w:val="00844994"/>
    <w:rsid w:val="00942B59"/>
    <w:rsid w:val="009705F6"/>
    <w:rsid w:val="00996DFD"/>
    <w:rsid w:val="009E7702"/>
    <w:rsid w:val="00A2422B"/>
    <w:rsid w:val="00A82A71"/>
    <w:rsid w:val="00A85645"/>
    <w:rsid w:val="00A96F54"/>
    <w:rsid w:val="00B47C8F"/>
    <w:rsid w:val="00BB7BC1"/>
    <w:rsid w:val="00BE0A8F"/>
    <w:rsid w:val="00C2467A"/>
    <w:rsid w:val="00C4226D"/>
    <w:rsid w:val="00C83CFA"/>
    <w:rsid w:val="00C86096"/>
    <w:rsid w:val="00CE5E22"/>
    <w:rsid w:val="00DB361C"/>
    <w:rsid w:val="00E7060B"/>
    <w:rsid w:val="00EC0DFD"/>
    <w:rsid w:val="00ED669D"/>
    <w:rsid w:val="00F00E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F484B"/>
  <w15:chartTrackingRefBased/>
  <w15:docId w15:val="{DB750908-F23E-48A7-9DB3-B3977FC74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0D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0DFD"/>
  </w:style>
  <w:style w:type="paragraph" w:styleId="Footer">
    <w:name w:val="footer"/>
    <w:basedOn w:val="Normal"/>
    <w:link w:val="FooterChar"/>
    <w:uiPriority w:val="99"/>
    <w:unhideWhenUsed/>
    <w:rsid w:val="00EC0D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0DFD"/>
  </w:style>
  <w:style w:type="character" w:styleId="Hyperlink">
    <w:name w:val="Hyperlink"/>
    <w:basedOn w:val="DefaultParagraphFont"/>
    <w:uiPriority w:val="99"/>
    <w:unhideWhenUsed/>
    <w:rsid w:val="007A0BFC"/>
    <w:rPr>
      <w:color w:val="0563C1" w:themeColor="hyperlink"/>
      <w:u w:val="single"/>
    </w:rPr>
  </w:style>
  <w:style w:type="paragraph" w:styleId="BalloonText">
    <w:name w:val="Balloon Text"/>
    <w:basedOn w:val="Normal"/>
    <w:link w:val="BalloonTextChar"/>
    <w:uiPriority w:val="99"/>
    <w:semiHidden/>
    <w:unhideWhenUsed/>
    <w:rsid w:val="00452E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2E4F"/>
    <w:rPr>
      <w:rFonts w:ascii="Segoe UI" w:hAnsi="Segoe UI" w:cs="Segoe UI"/>
      <w:sz w:val="18"/>
      <w:szCs w:val="18"/>
    </w:rPr>
  </w:style>
  <w:style w:type="character" w:styleId="UnresolvedMention">
    <w:name w:val="Unresolved Mention"/>
    <w:basedOn w:val="DefaultParagraphFont"/>
    <w:uiPriority w:val="99"/>
    <w:semiHidden/>
    <w:unhideWhenUsed/>
    <w:rsid w:val="00BB7B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il.vickery@ylf.org.u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Kristy.tidey@ylf.org.u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na.withers@ylf.org.uk"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feedback@ylf.org.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782</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The Young Lives Foundation</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Batt</dc:creator>
  <cp:keywords/>
  <dc:description/>
  <cp:lastModifiedBy>Stephen Gray</cp:lastModifiedBy>
  <cp:revision>5</cp:revision>
  <cp:lastPrinted>2019-07-29T13:18:00Z</cp:lastPrinted>
  <dcterms:created xsi:type="dcterms:W3CDTF">2025-02-07T09:48:00Z</dcterms:created>
  <dcterms:modified xsi:type="dcterms:W3CDTF">2025-02-14T13:23:00Z</dcterms:modified>
</cp:coreProperties>
</file>